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CB243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2277854"/>
      <w:r>
        <w:rPr>
          <w:sz w:val="52"/>
          <w:szCs w:val="52"/>
        </w:rPr>
        <w:t>SOUHRNNÁ TECHNICKÁ ZPRÁVA</w:t>
      </w:r>
      <w:bookmarkEnd w:id="0"/>
    </w:p>
    <w:p w14:paraId="07FFC0B9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s.p. </w:t>
      </w:r>
    </w:p>
    <w:p w14:paraId="79912530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0122C8">
        <w:rPr>
          <w:b/>
          <w:sz w:val="44"/>
        </w:rPr>
        <w:t>NOVÁ ŘÍŠE</w:t>
      </w:r>
    </w:p>
    <w:p w14:paraId="504C942E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63ECE573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24DD785D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5F5F3E7B" w14:textId="0559A9D4" w:rsidR="00766015" w:rsidRDefault="00ED31E4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1"/>
          </w:p>
        </w:tc>
      </w:tr>
      <w:tr w:rsidR="00766015" w14:paraId="3CCFD244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122B54C8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236034A1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3691886E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0BC24303" w14:textId="77777777" w:rsidR="00766015" w:rsidRDefault="00766015" w:rsidP="008D4C9E"/>
        </w:tc>
      </w:tr>
      <w:tr w:rsidR="00766015" w14:paraId="39DA64D6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082BC29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11D52ADF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2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2"/>
            <w:r w:rsidR="009E35EA">
              <w:t xml:space="preserve"> </w:t>
            </w:r>
          </w:p>
        </w:tc>
      </w:tr>
      <w:tr w:rsidR="00766015" w14:paraId="3523F1CE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0A5B2596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5BD95AD" w14:textId="153C203A" w:rsidR="00766015" w:rsidRDefault="00ED31E4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3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3"/>
          </w:p>
        </w:tc>
      </w:tr>
      <w:tr w:rsidR="00766015" w14:paraId="60308D69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F002B2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04843D4E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4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4"/>
          </w:p>
        </w:tc>
      </w:tr>
    </w:tbl>
    <w:p w14:paraId="41ADD833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454BFB50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0EF4FD4A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67A5AF76" w14:textId="77777777" w:rsidR="006E6EAB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6E6EAB">
        <w:rPr>
          <w:noProof/>
        </w:rPr>
        <w:t>SOUHRNNÁ TECHNICKÁ ZPRÁVA</w:t>
      </w:r>
      <w:r w:rsidR="006E6EAB">
        <w:rPr>
          <w:noProof/>
        </w:rPr>
        <w:tab/>
      </w:r>
      <w:r w:rsidR="006E6EAB">
        <w:rPr>
          <w:noProof/>
        </w:rPr>
        <w:fldChar w:fldCharType="begin"/>
      </w:r>
      <w:r w:rsidR="006E6EAB">
        <w:rPr>
          <w:noProof/>
        </w:rPr>
        <w:instrText xml:space="preserve"> PAGEREF _Toc492277854 \h </w:instrText>
      </w:r>
      <w:r w:rsidR="006E6EAB">
        <w:rPr>
          <w:noProof/>
        </w:rPr>
      </w:r>
      <w:r w:rsidR="006E6EAB">
        <w:rPr>
          <w:noProof/>
        </w:rPr>
        <w:fldChar w:fldCharType="separate"/>
      </w:r>
      <w:r w:rsidR="006E6EAB">
        <w:rPr>
          <w:noProof/>
        </w:rPr>
        <w:t>1</w:t>
      </w:r>
      <w:r w:rsidR="006E6EAB">
        <w:rPr>
          <w:noProof/>
        </w:rPr>
        <w:fldChar w:fldCharType="end"/>
      </w:r>
    </w:p>
    <w:p w14:paraId="5A4928D1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_Toc492277855 \h </w:instrText>
      </w:r>
      <w:r>
        <w:fldChar w:fldCharType="separate"/>
      </w:r>
      <w:r>
        <w:t>4</w:t>
      </w:r>
      <w:r>
        <w:fldChar w:fldCharType="end"/>
      </w:r>
    </w:p>
    <w:p w14:paraId="43AFC9CB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_Toc492277856 \h </w:instrText>
      </w:r>
      <w:r>
        <w:fldChar w:fldCharType="separate"/>
      </w:r>
      <w:r>
        <w:t>5</w:t>
      </w:r>
      <w:r>
        <w:fldChar w:fldCharType="end"/>
      </w:r>
    </w:p>
    <w:p w14:paraId="49DD51DA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_Toc492277857 \h </w:instrText>
      </w:r>
      <w:r>
        <w:fldChar w:fldCharType="separate"/>
      </w:r>
      <w:r>
        <w:t>6</w:t>
      </w:r>
      <w:r>
        <w:fldChar w:fldCharType="end"/>
      </w:r>
    </w:p>
    <w:p w14:paraId="4A9A019E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_Toc492277858 \h </w:instrText>
      </w:r>
      <w:r>
        <w:fldChar w:fldCharType="separate"/>
      </w:r>
      <w:r>
        <w:t>6</w:t>
      </w:r>
      <w:r>
        <w:fldChar w:fldCharType="end"/>
      </w:r>
    </w:p>
    <w:p w14:paraId="113CFA0B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_Toc492277859 \h </w:instrText>
      </w:r>
      <w:r>
        <w:fldChar w:fldCharType="separate"/>
      </w:r>
      <w:r>
        <w:t>7</w:t>
      </w:r>
      <w:r>
        <w:fldChar w:fldCharType="end"/>
      </w:r>
    </w:p>
    <w:p w14:paraId="6B514432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_Toc492277860 \h </w:instrText>
      </w:r>
      <w:r>
        <w:fldChar w:fldCharType="separate"/>
      </w:r>
      <w:r>
        <w:t>7</w:t>
      </w:r>
      <w:r>
        <w:fldChar w:fldCharType="end"/>
      </w:r>
    </w:p>
    <w:p w14:paraId="27B227F4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_Toc492277861 \h </w:instrText>
      </w:r>
      <w:r>
        <w:fldChar w:fldCharType="separate"/>
      </w:r>
      <w:r>
        <w:t>8</w:t>
      </w:r>
      <w:r>
        <w:fldChar w:fldCharType="end"/>
      </w:r>
    </w:p>
    <w:p w14:paraId="78B383CB" w14:textId="77777777" w:rsidR="006E6EAB" w:rsidRDefault="006E6EA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_Toc492277862 \h </w:instrText>
      </w:r>
      <w:r>
        <w:fldChar w:fldCharType="separate"/>
      </w:r>
      <w:r>
        <w:t>8</w:t>
      </w:r>
      <w:r>
        <w:fldChar w:fldCharType="end"/>
      </w:r>
    </w:p>
    <w:p w14:paraId="19D3FFE1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750C1B66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5" w:name="_Toc431976332"/>
      <w:bookmarkStart w:id="6" w:name="_Toc440894808"/>
      <w:bookmarkStart w:id="7" w:name="_Toc448153992"/>
      <w:bookmarkStart w:id="8" w:name="_Toc355001688"/>
      <w:bookmarkStart w:id="9" w:name="_Toc431913715"/>
      <w:bookmarkStart w:id="10" w:name="_Toc394932572"/>
    </w:p>
    <w:bookmarkEnd w:id="5"/>
    <w:bookmarkEnd w:id="6"/>
    <w:bookmarkEnd w:id="7"/>
    <w:p w14:paraId="6C840EE3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0122C8" w:rsidRPr="002B0419" w14:paraId="7E67CF31" w14:textId="77777777" w:rsidTr="001E3B05">
        <w:tc>
          <w:tcPr>
            <w:tcW w:w="2943" w:type="dxa"/>
            <w:shd w:val="clear" w:color="auto" w:fill="auto"/>
          </w:tcPr>
          <w:p w14:paraId="213C1DF7" w14:textId="77777777" w:rsidR="000122C8" w:rsidRPr="002B0419" w:rsidRDefault="000122C8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1A565E2E" w14:textId="77777777" w:rsidR="000122C8" w:rsidRPr="002B0419" w:rsidRDefault="000122C8" w:rsidP="00402B17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NOVÁ ŘÍŠE</w:t>
            </w:r>
          </w:p>
        </w:tc>
      </w:tr>
      <w:tr w:rsidR="000122C8" w:rsidRPr="002B0419" w14:paraId="49077083" w14:textId="77777777" w:rsidTr="003D22C9">
        <w:tc>
          <w:tcPr>
            <w:tcW w:w="2943" w:type="dxa"/>
            <w:shd w:val="clear" w:color="auto" w:fill="auto"/>
          </w:tcPr>
          <w:p w14:paraId="6F848BC0" w14:textId="77777777" w:rsidR="000122C8" w:rsidRPr="002B0419" w:rsidRDefault="000122C8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4AF235D1" w14:textId="77777777" w:rsidR="000122C8" w:rsidRPr="001E3B05" w:rsidRDefault="000122C8" w:rsidP="00402B17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Nová Říše</w:t>
            </w:r>
            <w:r w:rsidRPr="001E3B05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Olšanském potoce</w:t>
            </w:r>
          </w:p>
        </w:tc>
      </w:tr>
      <w:tr w:rsidR="000122C8" w:rsidRPr="002B0419" w14:paraId="0ABF2592" w14:textId="77777777" w:rsidTr="003D22C9">
        <w:tc>
          <w:tcPr>
            <w:tcW w:w="2943" w:type="dxa"/>
            <w:shd w:val="clear" w:color="auto" w:fill="auto"/>
          </w:tcPr>
          <w:p w14:paraId="3D742669" w14:textId="77777777" w:rsidR="000122C8" w:rsidRPr="002B0419" w:rsidRDefault="000122C8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2BF2554D" w14:textId="77777777" w:rsidR="000122C8" w:rsidRPr="002B0419" w:rsidRDefault="000122C8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0122C8" w:rsidRPr="002B0419" w14:paraId="11CD6F1D" w14:textId="77777777" w:rsidTr="003D22C9">
        <w:tc>
          <w:tcPr>
            <w:tcW w:w="2943" w:type="dxa"/>
            <w:shd w:val="clear" w:color="auto" w:fill="auto"/>
          </w:tcPr>
          <w:p w14:paraId="62110729" w14:textId="77777777" w:rsidR="000122C8" w:rsidRPr="002B0419" w:rsidRDefault="000122C8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424CA7C8" w14:textId="77777777" w:rsidR="000122C8" w:rsidRPr="002B0419" w:rsidRDefault="000122C8" w:rsidP="00402B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320/16, k.ú. Vystrčenovice</w:t>
            </w:r>
          </w:p>
        </w:tc>
      </w:tr>
      <w:tr w:rsidR="003D22C9" w:rsidRPr="002B0419" w14:paraId="23ACC027" w14:textId="77777777" w:rsidTr="003D22C9">
        <w:tc>
          <w:tcPr>
            <w:tcW w:w="2943" w:type="dxa"/>
            <w:shd w:val="clear" w:color="auto" w:fill="auto"/>
          </w:tcPr>
          <w:p w14:paraId="112C5BA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6DC46D94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76465BFD" w14:textId="77777777" w:rsidTr="003D22C9">
        <w:tc>
          <w:tcPr>
            <w:tcW w:w="2943" w:type="dxa"/>
            <w:shd w:val="clear" w:color="auto" w:fill="auto"/>
          </w:tcPr>
          <w:p w14:paraId="3554558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7F62398A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361CF22C" w14:textId="77777777" w:rsidTr="003D22C9">
        <w:tc>
          <w:tcPr>
            <w:tcW w:w="2943" w:type="dxa"/>
            <w:shd w:val="clear" w:color="auto" w:fill="auto"/>
          </w:tcPr>
          <w:p w14:paraId="0443F8A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3EA7600F" w14:textId="700BF0F8" w:rsidR="003D22C9" w:rsidRPr="002B0419" w:rsidRDefault="00ED31E4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3E2C26C8" w14:textId="77777777" w:rsidTr="003D22C9">
        <w:tc>
          <w:tcPr>
            <w:tcW w:w="2943" w:type="dxa"/>
            <w:shd w:val="clear" w:color="auto" w:fill="auto"/>
          </w:tcPr>
          <w:p w14:paraId="0F8349D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3AB49E5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3ED8AE0F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1" w:name="_Toc441153055"/>
      <w:bookmarkStart w:id="12" w:name="_Toc448153993"/>
      <w:bookmarkStart w:id="13" w:name="_Toc484424095"/>
      <w:bookmarkStart w:id="14" w:name="_Toc431976334"/>
      <w:bookmarkStart w:id="15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1"/>
      <w:bookmarkEnd w:id="12"/>
      <w:bookmarkEnd w:id="13"/>
    </w:p>
    <w:p w14:paraId="199A4267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7EDAB52B" w14:textId="77777777" w:rsidTr="003D22C9">
        <w:tc>
          <w:tcPr>
            <w:tcW w:w="2943" w:type="dxa"/>
            <w:shd w:val="clear" w:color="auto" w:fill="auto"/>
          </w:tcPr>
          <w:p w14:paraId="4DF231C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5F6D4AC8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03D4ABC8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27651CA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6D08C0AD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72B94530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10CEBFB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669EBCAE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005F41B5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8A0247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42A2F35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61686716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6" w:name="_Toc448153994"/>
      <w:bookmarkStart w:id="17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4"/>
      <w:bookmarkEnd w:id="15"/>
      <w:bookmarkEnd w:id="16"/>
      <w:bookmarkEnd w:id="17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7D47A8E2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8" w:name="_Toc48103289"/>
      <w:bookmarkStart w:id="19" w:name="_Toc191811563"/>
      <w:bookmarkStart w:id="20" w:name="_Toc250701967"/>
      <w:bookmarkStart w:id="21" w:name="_Toc258785929"/>
      <w:bookmarkStart w:id="22" w:name="_Toc351112848"/>
      <w:bookmarkStart w:id="23" w:name="_Toc431976335"/>
      <w:bookmarkStart w:id="24" w:name="_Toc440894811"/>
      <w:bookmarkStart w:id="25" w:name="_Toc448153995"/>
      <w:bookmarkStart w:id="26" w:name="_Toc480413991"/>
      <w:bookmarkStart w:id="27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8"/>
      <w:bookmarkEnd w:id="19"/>
      <w:bookmarkEnd w:id="20"/>
      <w:bookmarkEnd w:id="21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2"/>
      <w:bookmarkEnd w:id="23"/>
      <w:bookmarkEnd w:id="24"/>
      <w:bookmarkEnd w:id="25"/>
      <w:bookmarkEnd w:id="26"/>
      <w:bookmarkEnd w:id="27"/>
    </w:p>
    <w:p w14:paraId="4126D1EC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757DDDC" w14:textId="77777777" w:rsidTr="003D22C9">
        <w:tc>
          <w:tcPr>
            <w:tcW w:w="2943" w:type="dxa"/>
            <w:shd w:val="clear" w:color="auto" w:fill="auto"/>
          </w:tcPr>
          <w:p w14:paraId="0950334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64CB53B9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749EFEC1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30E7323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307E3409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138B9D1F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12A028E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254CEF78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68F7EF4C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E176F8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141E498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7056F42A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0AA4315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805C4AD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3BDD3F45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2E1EED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409554A6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31D1012D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8" w:name="_Toc431976336"/>
      <w:bookmarkStart w:id="29" w:name="_Toc440894812"/>
      <w:bookmarkStart w:id="30" w:name="_Toc448153996"/>
      <w:bookmarkStart w:id="31" w:name="_Toc480413992"/>
      <w:bookmarkStart w:id="32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8"/>
      <w:bookmarkEnd w:id="29"/>
      <w:bookmarkEnd w:id="30"/>
      <w:bookmarkEnd w:id="31"/>
      <w:bookmarkEnd w:id="32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6818C71" w14:textId="77777777" w:rsidTr="003D22C9">
        <w:tc>
          <w:tcPr>
            <w:tcW w:w="2943" w:type="dxa"/>
            <w:shd w:val="clear" w:color="auto" w:fill="auto"/>
          </w:tcPr>
          <w:p w14:paraId="3A26DD4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00040D5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70C29B5C" w14:textId="77777777" w:rsidTr="003D22C9">
        <w:tc>
          <w:tcPr>
            <w:tcW w:w="2943" w:type="dxa"/>
            <w:shd w:val="clear" w:color="auto" w:fill="auto"/>
          </w:tcPr>
          <w:p w14:paraId="22F594D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425C7A0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5B97A150" w14:textId="77777777" w:rsidTr="003D22C9">
        <w:tc>
          <w:tcPr>
            <w:tcW w:w="2943" w:type="dxa"/>
            <w:shd w:val="clear" w:color="auto" w:fill="auto"/>
          </w:tcPr>
          <w:p w14:paraId="74CF0E6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4669957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0784DD6E" w14:textId="77777777" w:rsidTr="003D22C9">
        <w:tc>
          <w:tcPr>
            <w:tcW w:w="2943" w:type="dxa"/>
            <w:shd w:val="clear" w:color="auto" w:fill="auto"/>
          </w:tcPr>
          <w:p w14:paraId="631464E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2070193C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8"/>
      <w:bookmarkEnd w:id="9"/>
    </w:tbl>
    <w:p w14:paraId="0F2F7525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2AADB80D" w14:textId="77777777" w:rsidR="00FC61D3" w:rsidRPr="00147A61" w:rsidRDefault="009E53C2" w:rsidP="00FC61D3">
      <w:pPr>
        <w:pStyle w:val="N1"/>
      </w:pPr>
      <w:bookmarkStart w:id="33" w:name="_Toc492277855"/>
      <w:r>
        <w:lastRenderedPageBreak/>
        <w:t>pOPIS ÚZEMÍ STAVBY</w:t>
      </w:r>
      <w:bookmarkEnd w:id="33"/>
    </w:p>
    <w:p w14:paraId="657A999F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2B644CDE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Práce budou probíhat především na vlastní hrázi vodního díla, ve </w:t>
      </w:r>
      <w:r w:rsidR="00EC6D63">
        <w:rPr>
          <w:rFonts w:asciiTheme="minorHAnsi" w:hAnsiTheme="minorHAnsi"/>
          <w:sz w:val="24"/>
          <w:szCs w:val="24"/>
        </w:rPr>
        <w:t xml:space="preserve">strojovně spodních výpustí, ve </w:t>
      </w:r>
      <w:r>
        <w:rPr>
          <w:rFonts w:asciiTheme="minorHAnsi" w:hAnsiTheme="minorHAnsi"/>
          <w:sz w:val="24"/>
          <w:szCs w:val="24"/>
        </w:rPr>
        <w:t xml:space="preserve">věžovém objektu, v areálu domku hrázného a na odtoku. </w:t>
      </w:r>
      <w:r w:rsidR="00EC6D63">
        <w:rPr>
          <w:rFonts w:asciiTheme="minorHAnsi" w:hAnsiTheme="minorHAnsi"/>
          <w:sz w:val="24"/>
          <w:szCs w:val="24"/>
        </w:rPr>
        <w:t xml:space="preserve">Dále budou práce prováděny v souvisejících stanicích v profilu </w:t>
      </w:r>
      <w:r w:rsidR="000122C8">
        <w:rPr>
          <w:rFonts w:asciiTheme="minorHAnsi" w:hAnsiTheme="minorHAnsi"/>
          <w:sz w:val="24"/>
          <w:szCs w:val="24"/>
        </w:rPr>
        <w:t>na přítoku do nádrže</w:t>
      </w:r>
      <w:r w:rsidR="00EC6D63">
        <w:rPr>
          <w:rFonts w:asciiTheme="minorHAnsi" w:hAnsiTheme="minorHAnsi"/>
          <w:sz w:val="24"/>
          <w:szCs w:val="24"/>
        </w:rPr>
        <w:t xml:space="preserve">. </w:t>
      </w:r>
    </w:p>
    <w:p w14:paraId="41E5ADE6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34D34D0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63EFC463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Inženýrsko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004DE5FB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477C83C2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0ED77E73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C1AC2E3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29B378C0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652C2202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92192C5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48088CEC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0B130F28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53927B4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2CB50ABF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3869F9A9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49B8BAE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E4A7065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8C6B8E5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lastRenderedPageBreak/>
        <w:t>Požadavky na asanace, demolice, kácení dřevin</w:t>
      </w:r>
    </w:p>
    <w:p w14:paraId="3AAFF9BD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0C0CAB9E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D208BB6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449CB19D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4A56AE79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A703B02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3E94C0E0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6BB822AB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1216FD66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1703EE86" w14:textId="77777777" w:rsidR="000D56EE" w:rsidRPr="000D56EE" w:rsidRDefault="00937ACE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práce v limnigrafické stanici na odtoku budou odsouhlaseny vlastníkem objektu ČHMÚ. </w:t>
      </w:r>
    </w:p>
    <w:p w14:paraId="0CE25490" w14:textId="77777777" w:rsidR="00FC61D3" w:rsidRDefault="009E53C2" w:rsidP="00FC61D3">
      <w:pPr>
        <w:pStyle w:val="N1"/>
      </w:pPr>
      <w:bookmarkStart w:id="34" w:name="_Toc492277856"/>
      <w:r>
        <w:t>Celkový popis stavby</w:t>
      </w:r>
      <w:bookmarkEnd w:id="34"/>
    </w:p>
    <w:p w14:paraId="61D2CF88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6F708F96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0122C8">
        <w:rPr>
          <w:rFonts w:asciiTheme="minorHAnsi" w:hAnsiTheme="minorHAnsi"/>
          <w:sz w:val="24"/>
          <w:szCs w:val="24"/>
        </w:rPr>
        <w:t>Nová Říše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4C415F02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nádrži, teplotu vody a vzduchu, výměnu srážkoměru a modernizace měření v odtokovém limnigraf</w:t>
      </w:r>
      <w:r w:rsidR="00EC6D63">
        <w:rPr>
          <w:rFonts w:asciiTheme="minorHAnsi" w:hAnsiTheme="minorHAnsi"/>
          <w:sz w:val="24"/>
          <w:szCs w:val="24"/>
        </w:rPr>
        <w:t>u.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vodohospodářský dispečink v Brně. V rámci stavby budou nahrazeny některé části kabelového vedení</w:t>
      </w:r>
      <w:r w:rsidR="00EC6D63">
        <w:rPr>
          <w:rFonts w:asciiTheme="minorHAnsi" w:hAnsiTheme="minorHAnsi"/>
          <w:sz w:val="24"/>
          <w:szCs w:val="24"/>
        </w:rPr>
        <w:t xml:space="preserve"> nebo bude položeno zcela nové vedení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02E6B0C3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6717E4EE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1AB6723B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6448FDE6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5F4150CC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67C57FB1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1EC0A47C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5F72F433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lastRenderedPageBreak/>
        <w:t>B.2.5. Bezpečnost při užívání stavby</w:t>
      </w:r>
    </w:p>
    <w:p w14:paraId="580F297C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58B75588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B.2.6. Základní technický popis staveb</w:t>
      </w:r>
    </w:p>
    <w:p w14:paraId="0C593A4C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</w:t>
      </w:r>
      <w:r w:rsidR="006A1C44">
        <w:rPr>
          <w:rFonts w:asciiTheme="minorHAnsi" w:hAnsiTheme="minorHAnsi"/>
          <w:sz w:val="24"/>
          <w:szCs w:val="24"/>
        </w:rPr>
        <w:t>Nová Říše</w:t>
      </w:r>
      <w:r>
        <w:rPr>
          <w:rFonts w:asciiTheme="minorHAnsi" w:hAnsiTheme="minorHAnsi"/>
          <w:sz w:val="24"/>
          <w:szCs w:val="24"/>
        </w:rPr>
        <w:t xml:space="preserve"> se nachází na vodním toku </w:t>
      </w:r>
      <w:r w:rsidR="006A1C44">
        <w:rPr>
          <w:rFonts w:asciiTheme="minorHAnsi" w:hAnsiTheme="minorHAnsi"/>
          <w:sz w:val="24"/>
          <w:szCs w:val="24"/>
        </w:rPr>
        <w:t xml:space="preserve">Olšanský potok. </w:t>
      </w:r>
      <w:r w:rsidR="003946F4">
        <w:rPr>
          <w:rFonts w:asciiTheme="minorHAnsi" w:hAnsiTheme="minorHAnsi"/>
          <w:sz w:val="24"/>
          <w:szCs w:val="24"/>
        </w:rPr>
        <w:t xml:space="preserve"> </w:t>
      </w:r>
    </w:p>
    <w:p w14:paraId="561E1AB3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  <w:r w:rsidRPr="006A1C44">
        <w:rPr>
          <w:rFonts w:asciiTheme="minorHAnsi" w:hAnsiTheme="minorHAnsi" w:cs="Times New Roman"/>
        </w:rPr>
        <w:t xml:space="preserve">Prostor stálého nadržení </w:t>
      </w:r>
    </w:p>
    <w:p w14:paraId="5BF31B7E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6A1C44" w:rsidRPr="006A1C44" w14:paraId="569A2CCF" w14:textId="77777777" w:rsidTr="00402B17">
        <w:tc>
          <w:tcPr>
            <w:tcW w:w="6310" w:type="dxa"/>
          </w:tcPr>
          <w:p w14:paraId="1872A225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Kóta dna nádrže</w:t>
            </w:r>
          </w:p>
        </w:tc>
        <w:tc>
          <w:tcPr>
            <w:tcW w:w="2066" w:type="dxa"/>
          </w:tcPr>
          <w:p w14:paraId="00C3121A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536,50  m n.m.</w:t>
            </w:r>
          </w:p>
        </w:tc>
      </w:tr>
      <w:tr w:rsidR="006A1C44" w:rsidRPr="006A1C44" w14:paraId="000D7158" w14:textId="77777777" w:rsidTr="00402B17">
        <w:tc>
          <w:tcPr>
            <w:tcW w:w="6310" w:type="dxa"/>
          </w:tcPr>
          <w:p w14:paraId="73B5F855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Kóta hladiny stálého nadržení Hs</w:t>
            </w:r>
          </w:p>
        </w:tc>
        <w:tc>
          <w:tcPr>
            <w:tcW w:w="2066" w:type="dxa"/>
          </w:tcPr>
          <w:p w14:paraId="2704D934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545,30  m n.m.</w:t>
            </w:r>
          </w:p>
        </w:tc>
      </w:tr>
      <w:tr w:rsidR="006A1C44" w:rsidRPr="006A1C44" w14:paraId="0548AB2F" w14:textId="77777777" w:rsidTr="00402B17">
        <w:tc>
          <w:tcPr>
            <w:tcW w:w="6310" w:type="dxa"/>
          </w:tcPr>
          <w:p w14:paraId="1EC1DB18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Objem prostoru stálého nadržení</w:t>
            </w:r>
          </w:p>
        </w:tc>
        <w:tc>
          <w:tcPr>
            <w:tcW w:w="2066" w:type="dxa"/>
          </w:tcPr>
          <w:p w14:paraId="0DFEDBF3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303 460   m3</w:t>
            </w:r>
          </w:p>
        </w:tc>
      </w:tr>
      <w:tr w:rsidR="006A1C44" w:rsidRPr="006A1C44" w14:paraId="615FCF1C" w14:textId="77777777" w:rsidTr="00402B17">
        <w:tc>
          <w:tcPr>
            <w:tcW w:w="6310" w:type="dxa"/>
          </w:tcPr>
          <w:p w14:paraId="4FDBDC80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Zatopená plocha při hlad. stálého nadržení</w:t>
            </w:r>
          </w:p>
        </w:tc>
        <w:tc>
          <w:tcPr>
            <w:tcW w:w="2066" w:type="dxa"/>
          </w:tcPr>
          <w:p w14:paraId="40A6FDB5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9,1  ha</w:t>
            </w:r>
          </w:p>
        </w:tc>
      </w:tr>
    </w:tbl>
    <w:p w14:paraId="33995484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</w:p>
    <w:p w14:paraId="1C4C22A6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  <w:r w:rsidRPr="006A1C44">
        <w:rPr>
          <w:rFonts w:asciiTheme="minorHAnsi" w:hAnsiTheme="minorHAnsi" w:cs="Times New Roman"/>
        </w:rPr>
        <w:t>Prostor zásobní</w:t>
      </w:r>
    </w:p>
    <w:p w14:paraId="2FD9F3DA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6A1C44" w:rsidRPr="006A1C44" w14:paraId="6E3080EE" w14:textId="77777777" w:rsidTr="00402B17">
        <w:tc>
          <w:tcPr>
            <w:tcW w:w="6310" w:type="dxa"/>
          </w:tcPr>
          <w:p w14:paraId="576CB8DA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Kóta min. hladiny zásobního prostoru</w:t>
            </w:r>
          </w:p>
        </w:tc>
        <w:tc>
          <w:tcPr>
            <w:tcW w:w="2066" w:type="dxa"/>
          </w:tcPr>
          <w:p w14:paraId="00FC680E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545,30  m n.m.</w:t>
            </w:r>
          </w:p>
        </w:tc>
      </w:tr>
      <w:tr w:rsidR="006A1C44" w:rsidRPr="006A1C44" w14:paraId="4581395F" w14:textId="77777777" w:rsidTr="00402B17">
        <w:tc>
          <w:tcPr>
            <w:tcW w:w="6310" w:type="dxa"/>
          </w:tcPr>
          <w:p w14:paraId="55CF0BDE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Kóta  max. hladiny zásobního prostoru  Hz</w:t>
            </w:r>
          </w:p>
        </w:tc>
        <w:tc>
          <w:tcPr>
            <w:tcW w:w="2066" w:type="dxa"/>
          </w:tcPr>
          <w:p w14:paraId="03072E20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554,60  m n.m.</w:t>
            </w:r>
          </w:p>
        </w:tc>
      </w:tr>
      <w:tr w:rsidR="006A1C44" w:rsidRPr="006A1C44" w14:paraId="5F0DE8F6" w14:textId="77777777" w:rsidTr="00402B17">
        <w:tc>
          <w:tcPr>
            <w:tcW w:w="6310" w:type="dxa"/>
          </w:tcPr>
          <w:p w14:paraId="0982D0C0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Objem zásobního prostoru </w:t>
            </w:r>
          </w:p>
        </w:tc>
        <w:tc>
          <w:tcPr>
            <w:tcW w:w="2066" w:type="dxa"/>
          </w:tcPr>
          <w:p w14:paraId="7A8F1B0E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2. 236 737  m3</w:t>
            </w:r>
          </w:p>
        </w:tc>
      </w:tr>
      <w:tr w:rsidR="006A1C44" w:rsidRPr="006A1C44" w14:paraId="199966DF" w14:textId="77777777" w:rsidTr="00402B17">
        <w:tc>
          <w:tcPr>
            <w:tcW w:w="6310" w:type="dxa"/>
          </w:tcPr>
          <w:p w14:paraId="33AF0F64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Zatopená plocha při  max. zásobní hladině </w:t>
            </w:r>
          </w:p>
        </w:tc>
        <w:tc>
          <w:tcPr>
            <w:tcW w:w="2066" w:type="dxa"/>
          </w:tcPr>
          <w:p w14:paraId="5DEE49FD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45,6  ha</w:t>
            </w:r>
          </w:p>
        </w:tc>
      </w:tr>
    </w:tbl>
    <w:p w14:paraId="2D0C4B6F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  <w:r w:rsidRPr="006A1C44">
        <w:rPr>
          <w:rFonts w:asciiTheme="minorHAnsi" w:hAnsiTheme="minorHAnsi" w:cs="Times New Roman"/>
        </w:rPr>
        <w:t xml:space="preserve">        </w:t>
      </w:r>
    </w:p>
    <w:p w14:paraId="4BB6B3AC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  <w:r w:rsidRPr="006A1C44">
        <w:rPr>
          <w:rFonts w:asciiTheme="minorHAnsi" w:hAnsiTheme="minorHAnsi" w:cs="Times New Roman"/>
        </w:rPr>
        <w:t>Prostor retenční neovladatelný</w:t>
      </w:r>
    </w:p>
    <w:p w14:paraId="3B1798DD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6A1C44" w:rsidRPr="006A1C44" w14:paraId="493CE116" w14:textId="77777777" w:rsidTr="00402B17">
        <w:tc>
          <w:tcPr>
            <w:tcW w:w="6310" w:type="dxa"/>
          </w:tcPr>
          <w:p w14:paraId="135025CA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Kóta min. hladiny neovladat. retenč. prostoru (přeliv)</w:t>
            </w:r>
          </w:p>
        </w:tc>
        <w:tc>
          <w:tcPr>
            <w:tcW w:w="2066" w:type="dxa"/>
          </w:tcPr>
          <w:p w14:paraId="04C65F26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 </w:t>
            </w:r>
            <w:smartTag w:uri="urn:schemas-microsoft-com:office:smarttags" w:element="metricconverter">
              <w:smartTagPr>
                <w:attr w:name="ProductID" w:val="554,60 m"/>
              </w:smartTagPr>
              <w:r w:rsidRPr="006A1C44">
                <w:rPr>
                  <w:rFonts w:asciiTheme="minorHAnsi" w:hAnsiTheme="minorHAnsi" w:cs="Times New Roman"/>
                </w:rPr>
                <w:t>554,60 m</w:t>
              </w:r>
            </w:smartTag>
            <w:r w:rsidRPr="006A1C44">
              <w:rPr>
                <w:rFonts w:asciiTheme="minorHAnsi" w:hAnsiTheme="minorHAnsi" w:cs="Times New Roman"/>
              </w:rPr>
              <w:t xml:space="preserve"> n.m.</w:t>
            </w:r>
          </w:p>
        </w:tc>
      </w:tr>
      <w:tr w:rsidR="006A1C44" w:rsidRPr="006A1C44" w14:paraId="708FF18A" w14:textId="77777777" w:rsidTr="00402B17">
        <w:tc>
          <w:tcPr>
            <w:tcW w:w="6310" w:type="dxa"/>
          </w:tcPr>
          <w:p w14:paraId="3F93F03E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Kóta max. hladiny retenčního prostoru Hmax.</w:t>
            </w:r>
          </w:p>
        </w:tc>
        <w:tc>
          <w:tcPr>
            <w:tcW w:w="2066" w:type="dxa"/>
          </w:tcPr>
          <w:p w14:paraId="29745FE7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 </w:t>
            </w:r>
            <w:smartTag w:uri="urn:schemas-microsoft-com:office:smarttags" w:element="metricconverter">
              <w:smartTagPr>
                <w:attr w:name="ProductID" w:val="555,60 m"/>
              </w:smartTagPr>
              <w:r w:rsidRPr="006A1C44">
                <w:rPr>
                  <w:rFonts w:asciiTheme="minorHAnsi" w:hAnsiTheme="minorHAnsi" w:cs="Times New Roman"/>
                </w:rPr>
                <w:t>555,60 m</w:t>
              </w:r>
            </w:smartTag>
            <w:r w:rsidRPr="006A1C44">
              <w:rPr>
                <w:rFonts w:asciiTheme="minorHAnsi" w:hAnsiTheme="minorHAnsi" w:cs="Times New Roman"/>
              </w:rPr>
              <w:t xml:space="preserve"> n.m.</w:t>
            </w:r>
          </w:p>
        </w:tc>
      </w:tr>
      <w:tr w:rsidR="006A1C44" w:rsidRPr="006A1C44" w14:paraId="35230852" w14:textId="77777777" w:rsidTr="00402B17">
        <w:tc>
          <w:tcPr>
            <w:tcW w:w="6310" w:type="dxa"/>
          </w:tcPr>
          <w:p w14:paraId="5D32260E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Objem neovladatelného retenčního prostoru</w:t>
            </w:r>
          </w:p>
        </w:tc>
        <w:tc>
          <w:tcPr>
            <w:tcW w:w="2066" w:type="dxa"/>
          </w:tcPr>
          <w:p w14:paraId="67EAC8B7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 </w:t>
            </w:r>
            <w:smartTag w:uri="urn:schemas-microsoft-com:office:smarttags" w:element="metricconverter">
              <w:smartTagPr>
                <w:attr w:name="ProductID" w:val="549 800 m3"/>
              </w:smartTagPr>
              <w:r w:rsidRPr="006A1C44">
                <w:rPr>
                  <w:rFonts w:asciiTheme="minorHAnsi" w:hAnsiTheme="minorHAnsi" w:cs="Times New Roman"/>
                </w:rPr>
                <w:t>549 800 m3</w:t>
              </w:r>
            </w:smartTag>
          </w:p>
        </w:tc>
      </w:tr>
      <w:tr w:rsidR="006A1C44" w:rsidRPr="006A1C44" w14:paraId="6812A98F" w14:textId="77777777" w:rsidTr="00402B17">
        <w:tc>
          <w:tcPr>
            <w:tcW w:w="6310" w:type="dxa"/>
          </w:tcPr>
          <w:p w14:paraId="1C030496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3AD3BD51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 </w:t>
            </w:r>
            <w:smartTag w:uri="urn:schemas-microsoft-com:office:smarttags" w:element="metricconverter">
              <w:smartTagPr>
                <w:attr w:name="ProductID" w:val="53,5 ha"/>
              </w:smartTagPr>
              <w:r w:rsidRPr="006A1C44">
                <w:rPr>
                  <w:rFonts w:asciiTheme="minorHAnsi" w:hAnsiTheme="minorHAnsi" w:cs="Times New Roman"/>
                </w:rPr>
                <w:t>53,5 ha</w:t>
              </w:r>
            </w:smartTag>
          </w:p>
        </w:tc>
      </w:tr>
    </w:tbl>
    <w:p w14:paraId="2EFFCAB0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</w:p>
    <w:p w14:paraId="260F7F75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  <w:r w:rsidRPr="006A1C44">
        <w:rPr>
          <w:rFonts w:asciiTheme="minorHAnsi" w:hAnsiTheme="minorHAnsi" w:cs="Times New Roman"/>
        </w:rPr>
        <w:t>Celkový prostor</w:t>
      </w:r>
    </w:p>
    <w:p w14:paraId="3B9963DA" w14:textId="77777777" w:rsidR="006A1C44" w:rsidRPr="006A1C44" w:rsidRDefault="006A1C44" w:rsidP="006A1C44">
      <w:pPr>
        <w:ind w:left="709"/>
        <w:rPr>
          <w:rFonts w:asciiTheme="minorHAnsi" w:hAnsiTheme="minorHAnsi" w:cs="Times New Roman"/>
        </w:rPr>
      </w:pP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6A1C44" w:rsidRPr="006A1C44" w14:paraId="35A18BAF" w14:textId="77777777" w:rsidTr="00402B17">
        <w:tc>
          <w:tcPr>
            <w:tcW w:w="6310" w:type="dxa"/>
          </w:tcPr>
          <w:p w14:paraId="06986C74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Maximální hladina</w:t>
            </w:r>
          </w:p>
        </w:tc>
        <w:tc>
          <w:tcPr>
            <w:tcW w:w="2066" w:type="dxa"/>
          </w:tcPr>
          <w:p w14:paraId="208551D8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555,60 m"/>
              </w:smartTagPr>
              <w:r w:rsidRPr="006A1C44">
                <w:rPr>
                  <w:rFonts w:asciiTheme="minorHAnsi" w:hAnsiTheme="minorHAnsi" w:cs="Times New Roman"/>
                </w:rPr>
                <w:t>555,60 m</w:t>
              </w:r>
            </w:smartTag>
            <w:r w:rsidRPr="006A1C44">
              <w:rPr>
                <w:rFonts w:asciiTheme="minorHAnsi" w:hAnsiTheme="minorHAnsi" w:cs="Times New Roman"/>
              </w:rPr>
              <w:t xml:space="preserve"> n.m.</w:t>
            </w:r>
          </w:p>
        </w:tc>
      </w:tr>
      <w:tr w:rsidR="006A1C44" w:rsidRPr="006A1C44" w14:paraId="37A508CC" w14:textId="77777777" w:rsidTr="00402B17">
        <w:tc>
          <w:tcPr>
            <w:tcW w:w="6310" w:type="dxa"/>
          </w:tcPr>
          <w:p w14:paraId="1178859B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Celkový objem nádrže</w:t>
            </w:r>
          </w:p>
        </w:tc>
        <w:tc>
          <w:tcPr>
            <w:tcW w:w="2066" w:type="dxa"/>
          </w:tcPr>
          <w:p w14:paraId="57AA344B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3. </w:t>
            </w:r>
            <w:smartTag w:uri="urn:schemas-microsoft-com:office:smarttags" w:element="metricconverter">
              <w:smartTagPr>
                <w:attr w:name="ProductID" w:val="090 000 m3"/>
              </w:smartTagPr>
              <w:r w:rsidRPr="006A1C44">
                <w:rPr>
                  <w:rFonts w:asciiTheme="minorHAnsi" w:hAnsiTheme="minorHAnsi" w:cs="Times New Roman"/>
                </w:rPr>
                <w:t>090 000 m3</w:t>
              </w:r>
            </w:smartTag>
          </w:p>
        </w:tc>
      </w:tr>
      <w:tr w:rsidR="006A1C44" w:rsidRPr="006A1C44" w14:paraId="273EA823" w14:textId="77777777" w:rsidTr="00402B17">
        <w:tc>
          <w:tcPr>
            <w:tcW w:w="6310" w:type="dxa"/>
          </w:tcPr>
          <w:p w14:paraId="514F54FF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>Celková zatopená plocha</w:t>
            </w:r>
          </w:p>
        </w:tc>
        <w:tc>
          <w:tcPr>
            <w:tcW w:w="2066" w:type="dxa"/>
          </w:tcPr>
          <w:p w14:paraId="6B7CA123" w14:textId="77777777" w:rsidR="006A1C44" w:rsidRPr="006A1C44" w:rsidRDefault="006A1C44" w:rsidP="006A1C44">
            <w:pPr>
              <w:spacing w:before="60" w:after="60"/>
              <w:jc w:val="both"/>
              <w:rPr>
                <w:rFonts w:asciiTheme="minorHAnsi" w:hAnsiTheme="minorHAnsi" w:cs="Times New Roman"/>
              </w:rPr>
            </w:pPr>
            <w:r w:rsidRPr="006A1C44">
              <w:rPr>
                <w:rFonts w:asciiTheme="minorHAnsi" w:hAnsiTheme="minorHAnsi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53,5 ha"/>
              </w:smartTagPr>
              <w:r w:rsidRPr="006A1C44">
                <w:rPr>
                  <w:rFonts w:asciiTheme="minorHAnsi" w:hAnsiTheme="minorHAnsi" w:cs="Times New Roman"/>
                </w:rPr>
                <w:t>53,5 ha</w:t>
              </w:r>
            </w:smartTag>
          </w:p>
        </w:tc>
      </w:tr>
    </w:tbl>
    <w:p w14:paraId="29C51A43" w14:textId="77777777" w:rsidR="000F125A" w:rsidRDefault="000F125A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 xml:space="preserve"> Jedná se o </w:t>
      </w:r>
      <w:r w:rsidR="004810FF">
        <w:rPr>
          <w:rFonts w:asciiTheme="minorHAnsi" w:hAnsiTheme="minorHAnsi"/>
          <w:sz w:val="24"/>
          <w:szCs w:val="24"/>
        </w:rPr>
        <w:t>kamenitou sypanou</w:t>
      </w:r>
      <w:r w:rsidR="004810FF" w:rsidRPr="004810FF">
        <w:rPr>
          <w:rFonts w:asciiTheme="minorHAnsi" w:hAnsiTheme="minorHAnsi"/>
          <w:sz w:val="24"/>
          <w:szCs w:val="24"/>
        </w:rPr>
        <w:t xml:space="preserve"> hráz se st</w:t>
      </w:r>
      <w:r w:rsidR="004810FF">
        <w:rPr>
          <w:rFonts w:asciiTheme="minorHAnsi" w:hAnsiTheme="minorHAnsi"/>
          <w:sz w:val="24"/>
          <w:szCs w:val="24"/>
        </w:rPr>
        <w:t>ředním hlinitým těsnícím jádrem</w:t>
      </w:r>
      <w:r w:rsidR="004810FF" w:rsidRPr="004810FF">
        <w:rPr>
          <w:rFonts w:asciiTheme="minorHAnsi" w:hAnsiTheme="minorHAnsi"/>
          <w:sz w:val="24"/>
          <w:szCs w:val="24"/>
        </w:rPr>
        <w:t xml:space="preserve"> </w:t>
      </w:r>
      <w:r w:rsidRPr="000F125A">
        <w:rPr>
          <w:rFonts w:asciiTheme="minorHAnsi" w:hAnsiTheme="minorHAnsi"/>
          <w:sz w:val="24"/>
          <w:szCs w:val="24"/>
        </w:rPr>
        <w:t xml:space="preserve">o výšce nade dnem údolí </w:t>
      </w:r>
      <w:r w:rsidR="004810FF">
        <w:rPr>
          <w:rFonts w:asciiTheme="minorHAnsi" w:hAnsiTheme="minorHAnsi"/>
          <w:sz w:val="24"/>
          <w:szCs w:val="24"/>
        </w:rPr>
        <w:t>19,9</w:t>
      </w:r>
      <w:r>
        <w:rPr>
          <w:rFonts w:asciiTheme="minorHAnsi" w:hAnsiTheme="minorHAnsi"/>
          <w:sz w:val="24"/>
          <w:szCs w:val="24"/>
        </w:rPr>
        <w:t xml:space="preserve"> m. </w:t>
      </w:r>
    </w:p>
    <w:p w14:paraId="098D4420" w14:textId="77777777" w:rsidR="00C12A5C" w:rsidRDefault="003946F4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Vodní dílo je vybaveno výpustnými zařízeními. </w:t>
      </w:r>
      <w:r w:rsidR="00C12A5C" w:rsidRPr="00C12A5C">
        <w:rPr>
          <w:rFonts w:asciiTheme="minorHAnsi" w:hAnsiTheme="minorHAnsi"/>
          <w:sz w:val="24"/>
          <w:szCs w:val="24"/>
        </w:rPr>
        <w:t>Veškerá výpustná a odběrná zařízení t.j. bezpečnostní přeliv, spodní výpustě, odběry a odpadní štola jsou umístěny ve sdruženém funkčním objektu. Na sdruženém objektu je umístěna strojovna, z níž se provádí manipulace s výpustnými a odběrnými zařízeními.</w:t>
      </w:r>
    </w:p>
    <w:p w14:paraId="0B7B338E" w14:textId="77777777" w:rsidR="000F125A" w:rsidRP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 xml:space="preserve">Spodní výpusti </w:t>
      </w:r>
      <w:r w:rsidR="00B956F0">
        <w:rPr>
          <w:rFonts w:asciiTheme="minorHAnsi" w:hAnsiTheme="minorHAnsi"/>
          <w:sz w:val="24"/>
          <w:szCs w:val="24"/>
        </w:rPr>
        <w:t>a odběry</w:t>
      </w:r>
    </w:p>
    <w:p w14:paraId="10757D58" w14:textId="77777777" w:rsidR="000F125A" w:rsidRDefault="00C12A5C" w:rsidP="005B4EB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12A5C">
        <w:rPr>
          <w:rFonts w:asciiTheme="minorHAnsi" w:hAnsiTheme="minorHAnsi"/>
          <w:sz w:val="24"/>
          <w:szCs w:val="24"/>
        </w:rPr>
        <w:t>2 spodní výpusti jsou umístěny v</w:t>
      </w:r>
      <w:r>
        <w:rPr>
          <w:rFonts w:asciiTheme="minorHAnsi" w:hAnsiTheme="minorHAnsi"/>
          <w:sz w:val="24"/>
          <w:szCs w:val="24"/>
        </w:rPr>
        <w:t>e spodní části manipulační věže</w:t>
      </w:r>
      <w:r w:rsidR="005B4EBF">
        <w:rPr>
          <w:rFonts w:asciiTheme="minorHAnsi" w:hAnsiTheme="minorHAnsi"/>
          <w:sz w:val="24"/>
          <w:szCs w:val="24"/>
        </w:rPr>
        <w:t xml:space="preserve"> (ve směru toku) </w:t>
      </w:r>
      <w:r w:rsidRPr="00C12A5C">
        <w:rPr>
          <w:rFonts w:asciiTheme="minorHAnsi" w:hAnsiTheme="minorHAnsi"/>
          <w:sz w:val="24"/>
          <w:szCs w:val="24"/>
        </w:rPr>
        <w:t>DN 400  mm</w:t>
      </w:r>
      <w:r>
        <w:rPr>
          <w:rFonts w:asciiTheme="minorHAnsi" w:hAnsiTheme="minorHAnsi"/>
          <w:sz w:val="24"/>
          <w:szCs w:val="24"/>
        </w:rPr>
        <w:t xml:space="preserve">. </w:t>
      </w:r>
      <w:r w:rsidR="005B4EBF">
        <w:rPr>
          <w:rFonts w:asciiTheme="minorHAnsi" w:hAnsiTheme="minorHAnsi"/>
          <w:sz w:val="24"/>
          <w:szCs w:val="24"/>
        </w:rPr>
        <w:t xml:space="preserve">Provozní uzávěry </w:t>
      </w:r>
      <w:r w:rsidR="005B4EBF" w:rsidRPr="005B4EBF">
        <w:rPr>
          <w:rFonts w:asciiTheme="minorHAnsi" w:hAnsiTheme="minorHAnsi"/>
          <w:sz w:val="24"/>
          <w:szCs w:val="24"/>
        </w:rPr>
        <w:t>jsou stejné jako uzávěry návodní, t.j. šoupátka třmenová s</w:t>
      </w:r>
      <w:r w:rsidR="005B4EBF">
        <w:rPr>
          <w:rFonts w:asciiTheme="minorHAnsi" w:hAnsiTheme="minorHAnsi"/>
          <w:sz w:val="24"/>
          <w:szCs w:val="24"/>
        </w:rPr>
        <w:t> </w:t>
      </w:r>
      <w:r w:rsidR="005B4EBF" w:rsidRPr="005B4EBF">
        <w:rPr>
          <w:rFonts w:asciiTheme="minorHAnsi" w:hAnsiTheme="minorHAnsi"/>
          <w:sz w:val="24"/>
          <w:szCs w:val="24"/>
        </w:rPr>
        <w:t>elektropohony</w:t>
      </w:r>
      <w:r w:rsidR="005B4EBF">
        <w:rPr>
          <w:rFonts w:asciiTheme="minorHAnsi" w:hAnsiTheme="minorHAnsi"/>
          <w:sz w:val="24"/>
          <w:szCs w:val="24"/>
        </w:rPr>
        <w:t>.</w:t>
      </w:r>
      <w:r w:rsidR="005B4EBF" w:rsidRPr="005B4EBF">
        <w:rPr>
          <w:rFonts w:asciiTheme="minorHAnsi" w:hAnsiTheme="minorHAnsi"/>
          <w:sz w:val="24"/>
          <w:szCs w:val="24"/>
        </w:rPr>
        <w:t xml:space="preserve"> </w:t>
      </w:r>
      <w:r w:rsidR="00B956F0" w:rsidRPr="00B956F0">
        <w:rPr>
          <w:rFonts w:asciiTheme="minorHAnsi" w:hAnsiTheme="minorHAnsi"/>
          <w:sz w:val="24"/>
          <w:szCs w:val="24"/>
        </w:rPr>
        <w:t>Vodárenské odběry - jsou zaústěny do pravé šachty odběrné věže.</w:t>
      </w:r>
      <w:r w:rsidR="005B4EBF" w:rsidRPr="005B4EBF">
        <w:t xml:space="preserve"> </w:t>
      </w:r>
      <w:r w:rsidR="005B4EBF" w:rsidRPr="005B4EBF">
        <w:rPr>
          <w:rFonts w:asciiTheme="minorHAnsi" w:hAnsiTheme="minorHAnsi"/>
          <w:sz w:val="24"/>
          <w:szCs w:val="24"/>
        </w:rPr>
        <w:t xml:space="preserve">Potrubí asanačního průtoku </w:t>
      </w:r>
      <w:r w:rsidR="005B4EBF">
        <w:rPr>
          <w:rFonts w:asciiTheme="minorHAnsi" w:hAnsiTheme="minorHAnsi"/>
          <w:sz w:val="24"/>
          <w:szCs w:val="24"/>
        </w:rPr>
        <w:t xml:space="preserve">je ocelové potrubí DN 150 mm, </w:t>
      </w:r>
      <w:r w:rsidR="005B4EBF" w:rsidRPr="005B4EBF">
        <w:rPr>
          <w:rFonts w:asciiTheme="minorHAnsi" w:hAnsiTheme="minorHAnsi"/>
          <w:sz w:val="24"/>
          <w:szCs w:val="24"/>
        </w:rPr>
        <w:t xml:space="preserve">je uzavíratelné regulačním šoupátkem DN 150, Jt 10, Sigma.  </w:t>
      </w:r>
    </w:p>
    <w:p w14:paraId="065659A3" w14:textId="77777777" w:rsidR="000F125A" w:rsidRP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>Přeliv</w:t>
      </w:r>
    </w:p>
    <w:p w14:paraId="39B96C53" w14:textId="77777777" w:rsidR="005B4EBF" w:rsidRPr="005B4EBF" w:rsidRDefault="005B4EBF" w:rsidP="005B4EB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5B4EBF">
        <w:rPr>
          <w:rFonts w:asciiTheme="minorHAnsi" w:hAnsiTheme="minorHAnsi"/>
          <w:sz w:val="24"/>
          <w:szCs w:val="24"/>
        </w:rPr>
        <w:t>je součástí věžového funkčního objektu. Přelivná hrana je na bocích věže. Původně byla šířka přelivových oken v boční části funkčního objektu 2 x 4 m. Na základě požadavku VODNÍ DÍLA-TBD, a.s. Brno byl přeliv z důvodu zajištění bezpečnosti hráze při průchodu velkých povodní v roce 2000 rozšířen vybouráním zdiva z boků přelivu na délku přepadové hrany 2 x 5 m.</w:t>
      </w:r>
    </w:p>
    <w:p w14:paraId="197D8924" w14:textId="77777777" w:rsidR="005B4EBF" w:rsidRDefault="005B4EBF" w:rsidP="005B4EB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5B4EBF">
        <w:rPr>
          <w:rFonts w:asciiTheme="minorHAnsi" w:hAnsiTheme="minorHAnsi"/>
          <w:sz w:val="24"/>
          <w:szCs w:val="24"/>
        </w:rPr>
        <w:t>Přeliv je obložen kamenem. Šachta od přelivu ve věži je hluboká 17,66 m. Voda přepadá do šachty a dále odtéká odpadní štolou do vývaru.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0002ED85" w14:textId="77777777" w:rsidR="003A510F" w:rsidRDefault="003946F4" w:rsidP="005B4EB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Zázemí je tvořeno především domkem hrázného. Na přítoku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0B5EA6B7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492E7214" w14:textId="77777777" w:rsidR="003A510F" w:rsidRPr="000004A7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5DB4866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18753757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63D8C69E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E487637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0CEBD527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4E5D0359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156406D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44F2804C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2630B043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34E6CD36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lastRenderedPageBreak/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155B666A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6E74A328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B.2.11. Zásady ochrany stavby před negativními účinky vnějšího prostředí</w:t>
      </w:r>
    </w:p>
    <w:p w14:paraId="0BA42DA5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3477CD03" w14:textId="77777777" w:rsidR="006017D8" w:rsidRPr="006017D8" w:rsidRDefault="006017D8" w:rsidP="006017D8">
      <w:pPr>
        <w:pStyle w:val="N1"/>
      </w:pPr>
      <w:bookmarkStart w:id="35" w:name="_Toc492277857"/>
      <w:r w:rsidRPr="006017D8">
        <w:t>Připojení na technickou infrastrukturu</w:t>
      </w:r>
      <w:bookmarkEnd w:id="35"/>
    </w:p>
    <w:p w14:paraId="7300BD29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 xml:space="preserve">) </w:t>
      </w:r>
      <w:r w:rsidR="005B4EBF">
        <w:rPr>
          <w:rFonts w:asciiTheme="minorHAnsi" w:hAnsiTheme="minorHAnsi"/>
          <w:b/>
          <w:sz w:val="24"/>
          <w:szCs w:val="24"/>
        </w:rPr>
        <w:t xml:space="preserve"> </w:t>
      </w:r>
      <w:r w:rsidRPr="003946F4">
        <w:rPr>
          <w:rFonts w:asciiTheme="minorHAnsi" w:hAnsiTheme="minorHAnsi"/>
          <w:b/>
          <w:sz w:val="24"/>
          <w:szCs w:val="24"/>
        </w:rPr>
        <w:t>napojovací místa technické infrastruktury, přeložky</w:t>
      </w:r>
    </w:p>
    <w:p w14:paraId="7E65BC43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1FF4459C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791F4178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3F1F8397" w14:textId="77777777" w:rsidR="006017D8" w:rsidRPr="006017D8" w:rsidRDefault="006017D8" w:rsidP="006017D8">
      <w:pPr>
        <w:pStyle w:val="N1"/>
      </w:pPr>
      <w:bookmarkStart w:id="36" w:name="_Toc492277858"/>
      <w:r w:rsidRPr="006017D8">
        <w:t>Dopravní řešení</w:t>
      </w:r>
      <w:bookmarkEnd w:id="36"/>
    </w:p>
    <w:p w14:paraId="37082062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4DCF11FD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místních komunikací nebo přímo z koruny hráze.</w:t>
      </w:r>
    </w:p>
    <w:p w14:paraId="1BF1EE34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2B4C0BD2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1F6E4358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641A4874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5F5A80E6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2E0FF3F0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350E05BF" w14:textId="77777777" w:rsidR="006017D8" w:rsidRPr="00D812A4" w:rsidRDefault="006017D8" w:rsidP="00D812A4">
      <w:pPr>
        <w:pStyle w:val="Zkladntext"/>
        <w:ind w:left="567"/>
        <w:rPr>
          <w:rFonts w:asciiTheme="minorHAnsi" w:hAnsiTheme="minorHAnsi"/>
          <w:szCs w:val="24"/>
        </w:rPr>
      </w:pPr>
    </w:p>
    <w:p w14:paraId="75FF35C4" w14:textId="77777777" w:rsidR="00D812A4" w:rsidRPr="006A609C" w:rsidRDefault="006A609C" w:rsidP="006A609C">
      <w:pPr>
        <w:pStyle w:val="N1"/>
      </w:pPr>
      <w:bookmarkStart w:id="37" w:name="_Toc492277859"/>
      <w:r w:rsidRPr="006A609C">
        <w:t>Řešení vegetace a souvisejících terénních úprav</w:t>
      </w:r>
      <w:bookmarkEnd w:id="37"/>
    </w:p>
    <w:p w14:paraId="5ABEA80C" w14:textId="77777777" w:rsidR="00E8258F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5F41BA56" w14:textId="77777777" w:rsidR="005B4EBF" w:rsidRDefault="005B4EBF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796573F" w14:textId="77777777" w:rsidR="005B4EBF" w:rsidRDefault="005B4EBF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D9DFC34" w14:textId="77777777" w:rsidR="005B4EBF" w:rsidRDefault="005B4EBF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0E13B86" w14:textId="77777777" w:rsidR="005B4EBF" w:rsidRPr="00D67B21" w:rsidRDefault="005B4EBF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BB534FC" w14:textId="77777777" w:rsidR="00E8258F" w:rsidRDefault="00E8258F" w:rsidP="00E8258F">
      <w:pPr>
        <w:pStyle w:val="N1"/>
      </w:pPr>
      <w:bookmarkStart w:id="38" w:name="_Toc492277860"/>
      <w:r>
        <w:lastRenderedPageBreak/>
        <w:t>Popis vlivů na životní prostředí a jeho ochrana</w:t>
      </w:r>
      <w:bookmarkEnd w:id="38"/>
    </w:p>
    <w:p w14:paraId="61BE6EF4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61B36473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Hladina hluku ze stavební činnosti nesmí přesahovat LAeq 65 dB v době od 7,00 – 21,00 hod, LAeq 60 dB v době od 6,00 – 7,00 hod a od 21,00 – 22,00 hod a LAeq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3A217980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313F08A8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5A3BD0BF" w14:textId="77777777" w:rsidR="003946F4" w:rsidRDefault="003946F4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3C426AC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570C74EA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13EE2C72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332BD96C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6D777201" w14:textId="77777777" w:rsidTr="008D23CE">
        <w:tc>
          <w:tcPr>
            <w:tcW w:w="1693" w:type="dxa"/>
            <w:vAlign w:val="center"/>
          </w:tcPr>
          <w:p w14:paraId="3440CD11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Katalog.č. odpadu dle</w:t>
            </w:r>
          </w:p>
          <w:p w14:paraId="3507CDEF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vyhl. MŽP</w:t>
            </w:r>
          </w:p>
          <w:p w14:paraId="07740B9D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09EE4BF2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15E44873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71BC2CD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5B10C50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2D63EC92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4258616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A5D8FD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12631DB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7F77D8AF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3C09E4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7F8592A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0332BF46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39E21C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7483D72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00E265B7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0864CFE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1E88DA7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40A89332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CE091B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5E4230C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2C55D939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47B298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33F45D3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401BFCBC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E23AFF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5A219507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555F1DA2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D00C5DD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61B38C5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10A03899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CBBA04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150161F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71174EB0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632A49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7FE1B31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78DFF1B3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DA804B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61CAF1F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41B0B3BF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2EC704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339BBE4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3904D11D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248518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6B6D2287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54D2777F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93F370D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792FC77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5ECD51F1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8D72320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lastRenderedPageBreak/>
              <w:t>170504</w:t>
            </w:r>
          </w:p>
        </w:tc>
        <w:tc>
          <w:tcPr>
            <w:tcW w:w="1701" w:type="dxa"/>
            <w:vAlign w:val="center"/>
          </w:tcPr>
          <w:p w14:paraId="406B3115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6B46BDC8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3EB829E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4CFE9CAC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05CD7421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35ECC6D8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5795106D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0CA41C23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0ED82BD5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161637F0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6D6CB672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7EA01F75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5FE3C902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40A33528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503B1ACB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067FC0BB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6E117762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2F1DE64F" w14:textId="77777777" w:rsidR="00E8258F" w:rsidRPr="000D59E6" w:rsidRDefault="00302BD4" w:rsidP="00302BD4">
      <w:pPr>
        <w:pStyle w:val="N1"/>
      </w:pPr>
      <w:bookmarkStart w:id="39" w:name="_Toc492277861"/>
      <w:r>
        <w:t>Ochrana obyvatelstva</w:t>
      </w:r>
      <w:bookmarkEnd w:id="39"/>
    </w:p>
    <w:p w14:paraId="29193A58" w14:textId="77777777" w:rsidR="00B55C59" w:rsidRPr="00713F57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47E00D0C" w14:textId="77777777" w:rsidR="00302BD4" w:rsidRDefault="00302BD4" w:rsidP="00302BD4">
      <w:pPr>
        <w:pStyle w:val="N1"/>
      </w:pPr>
      <w:bookmarkStart w:id="40" w:name="_Toc492277862"/>
      <w:r>
        <w:t>Zásady organizace výstavby</w:t>
      </w:r>
      <w:bookmarkEnd w:id="40"/>
    </w:p>
    <w:p w14:paraId="79615F58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2793B8F1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692AC6B2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29159001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3B423B13" w14:textId="77777777" w:rsidR="005B4EBF" w:rsidRDefault="005B4EB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6E11108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lastRenderedPageBreak/>
        <w:t xml:space="preserve">Maximální zábory pro staveniště (dočasné / i trvalé). </w:t>
      </w:r>
    </w:p>
    <w:p w14:paraId="33574489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35ED1383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631256F7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 bude odvezena na skládku interního materiálu.</w:t>
      </w:r>
    </w:p>
    <w:bookmarkEnd w:id="10"/>
    <w:p w14:paraId="519F1B6B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5FEBC1F8" w14:textId="1B00C850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ED31E4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>.</w:t>
      </w:r>
      <w:r w:rsidR="00ED31E4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ED31E4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727D28B9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82E64" w14:textId="77777777" w:rsidR="007B5270" w:rsidRDefault="007B5270" w:rsidP="0081121B">
      <w:r>
        <w:separator/>
      </w:r>
    </w:p>
  </w:endnote>
  <w:endnote w:type="continuationSeparator" w:id="0">
    <w:p w14:paraId="4283FE04" w14:textId="77777777" w:rsidR="007B5270" w:rsidRDefault="007B5270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76F8158B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788A9160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59A7620B" wp14:editId="05691CB0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65F7780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377822AC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753B0B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753B0B">
      <w:rPr>
        <w:bCs w:val="0"/>
        <w:noProof/>
      </w:rPr>
      <w:t>11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438490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86DE6E8" w14:textId="77777777" w:rsidR="00753B0B" w:rsidRDefault="00753B0B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33440208" wp14:editId="530EC03A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404F0A" w14:textId="77777777" w:rsidR="00753B0B" w:rsidRDefault="00753B0B">
            <w:pPr>
              <w:pStyle w:val="Zpat"/>
            </w:pPr>
          </w:p>
          <w:p w14:paraId="5D24F6BE" w14:textId="77777777" w:rsidR="00753B0B" w:rsidRDefault="00753B0B">
            <w:pPr>
              <w:pStyle w:val="Zpat"/>
            </w:pPr>
          </w:p>
          <w:p w14:paraId="6E1AB522" w14:textId="77777777" w:rsidR="00753B0B" w:rsidRDefault="00753B0B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11A3B897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FE04F" w14:textId="77777777" w:rsidR="007B5270" w:rsidRDefault="007B5270" w:rsidP="0081121B">
      <w:r>
        <w:separator/>
      </w:r>
    </w:p>
  </w:footnote>
  <w:footnote w:type="continuationSeparator" w:id="0">
    <w:p w14:paraId="7C00ACF9" w14:textId="77777777" w:rsidR="007B5270" w:rsidRDefault="007B5270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3AA2D785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1CB69E1A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6B7DFC0B" wp14:editId="5B3B3379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24DC04D8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27B28B31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07929D89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1EB2563B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2F7D47B1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1432EB1A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09327E01" wp14:editId="7118A60E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071F980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743420DF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47630A12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4DF54EDA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2C7E3380" wp14:editId="008A8BBF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56DEEBE4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410C7CD8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171E3D58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7E240865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2E16E7D8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3D862649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5E1FD47C" wp14:editId="06277870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E779EE0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3FC91599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799204">
    <w:abstractNumId w:val="18"/>
  </w:num>
  <w:num w:numId="2" w16cid:durableId="2110850560">
    <w:abstractNumId w:val="13"/>
  </w:num>
  <w:num w:numId="3" w16cid:durableId="1186291645">
    <w:abstractNumId w:val="5"/>
  </w:num>
  <w:num w:numId="4" w16cid:durableId="1744327091">
    <w:abstractNumId w:val="12"/>
  </w:num>
  <w:num w:numId="5" w16cid:durableId="827284624">
    <w:abstractNumId w:val="6"/>
  </w:num>
  <w:num w:numId="6" w16cid:durableId="17392127">
    <w:abstractNumId w:val="3"/>
  </w:num>
  <w:num w:numId="7" w16cid:durableId="125048002">
    <w:abstractNumId w:val="23"/>
  </w:num>
  <w:num w:numId="8" w16cid:durableId="1377243708">
    <w:abstractNumId w:val="24"/>
  </w:num>
  <w:num w:numId="9" w16cid:durableId="972751097">
    <w:abstractNumId w:val="21"/>
  </w:num>
  <w:num w:numId="10" w16cid:durableId="941110298">
    <w:abstractNumId w:val="25"/>
  </w:num>
  <w:num w:numId="11" w16cid:durableId="983701790">
    <w:abstractNumId w:val="5"/>
  </w:num>
  <w:num w:numId="12" w16cid:durableId="764346453">
    <w:abstractNumId w:val="16"/>
  </w:num>
  <w:num w:numId="13" w16cid:durableId="919480649">
    <w:abstractNumId w:val="0"/>
  </w:num>
  <w:num w:numId="14" w16cid:durableId="1662192544">
    <w:abstractNumId w:val="5"/>
  </w:num>
  <w:num w:numId="15" w16cid:durableId="1077674349">
    <w:abstractNumId w:val="5"/>
  </w:num>
  <w:num w:numId="16" w16cid:durableId="1141389677">
    <w:abstractNumId w:val="5"/>
  </w:num>
  <w:num w:numId="17" w16cid:durableId="843787066">
    <w:abstractNumId w:val="5"/>
  </w:num>
  <w:num w:numId="18" w16cid:durableId="824931916">
    <w:abstractNumId w:val="5"/>
  </w:num>
  <w:num w:numId="19" w16cid:durableId="978152112">
    <w:abstractNumId w:val="19"/>
  </w:num>
  <w:num w:numId="20" w16cid:durableId="2041123955">
    <w:abstractNumId w:val="5"/>
  </w:num>
  <w:num w:numId="21" w16cid:durableId="1972900112">
    <w:abstractNumId w:val="5"/>
  </w:num>
  <w:num w:numId="22" w16cid:durableId="568464314">
    <w:abstractNumId w:val="11"/>
  </w:num>
  <w:num w:numId="23" w16cid:durableId="1398162792">
    <w:abstractNumId w:val="5"/>
  </w:num>
  <w:num w:numId="24" w16cid:durableId="1378506776">
    <w:abstractNumId w:val="5"/>
  </w:num>
  <w:num w:numId="25" w16cid:durableId="1205361759">
    <w:abstractNumId w:val="5"/>
  </w:num>
  <w:num w:numId="26" w16cid:durableId="1836262428">
    <w:abstractNumId w:val="5"/>
  </w:num>
  <w:num w:numId="27" w16cid:durableId="1785224442">
    <w:abstractNumId w:val="5"/>
  </w:num>
  <w:num w:numId="28" w16cid:durableId="609119263">
    <w:abstractNumId w:val="5"/>
  </w:num>
  <w:num w:numId="29" w16cid:durableId="1181043128">
    <w:abstractNumId w:val="4"/>
  </w:num>
  <w:num w:numId="30" w16cid:durableId="2061778733">
    <w:abstractNumId w:val="10"/>
  </w:num>
  <w:num w:numId="31" w16cid:durableId="68551149">
    <w:abstractNumId w:val="5"/>
  </w:num>
  <w:num w:numId="32" w16cid:durableId="294256983">
    <w:abstractNumId w:val="5"/>
  </w:num>
  <w:num w:numId="33" w16cid:durableId="1761872473">
    <w:abstractNumId w:val="20"/>
  </w:num>
  <w:num w:numId="34" w16cid:durableId="1332636218">
    <w:abstractNumId w:val="7"/>
  </w:num>
  <w:num w:numId="35" w16cid:durableId="286668139">
    <w:abstractNumId w:val="8"/>
  </w:num>
  <w:num w:numId="36" w16cid:durableId="301812291">
    <w:abstractNumId w:val="9"/>
  </w:num>
  <w:num w:numId="37" w16cid:durableId="1872107792">
    <w:abstractNumId w:val="22"/>
  </w:num>
  <w:num w:numId="38" w16cid:durableId="1093626554">
    <w:abstractNumId w:val="1"/>
  </w:num>
  <w:num w:numId="39" w16cid:durableId="535970755">
    <w:abstractNumId w:val="14"/>
  </w:num>
  <w:num w:numId="40" w16cid:durableId="2004694708">
    <w:abstractNumId w:val="17"/>
  </w:num>
  <w:num w:numId="41" w16cid:durableId="1145006313">
    <w:abstractNumId w:val="5"/>
  </w:num>
  <w:num w:numId="42" w16cid:durableId="496581845">
    <w:abstractNumId w:val="5"/>
  </w:num>
  <w:num w:numId="43" w16cid:durableId="802775796">
    <w:abstractNumId w:val="5"/>
  </w:num>
  <w:num w:numId="44" w16cid:durableId="754860156">
    <w:abstractNumId w:val="5"/>
  </w:num>
  <w:num w:numId="45" w16cid:durableId="790244778">
    <w:abstractNumId w:val="5"/>
  </w:num>
  <w:num w:numId="46" w16cid:durableId="1594626712">
    <w:abstractNumId w:val="5"/>
  </w:num>
  <w:num w:numId="47" w16cid:durableId="602342183">
    <w:abstractNumId w:val="2"/>
  </w:num>
  <w:num w:numId="48" w16cid:durableId="665590128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22C8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1107A0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659BF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4C43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6785B"/>
    <w:rsid w:val="00472FB0"/>
    <w:rsid w:val="00475E5B"/>
    <w:rsid w:val="00477F38"/>
    <w:rsid w:val="00480AF3"/>
    <w:rsid w:val="004810FF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501598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4EBF"/>
    <w:rsid w:val="005B6812"/>
    <w:rsid w:val="005C1B72"/>
    <w:rsid w:val="005C7FEF"/>
    <w:rsid w:val="005D1DBD"/>
    <w:rsid w:val="005D3C8F"/>
    <w:rsid w:val="005D3FBE"/>
    <w:rsid w:val="005D6A3D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993"/>
    <w:rsid w:val="00694B3C"/>
    <w:rsid w:val="006A1C44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4221C"/>
    <w:rsid w:val="007446FC"/>
    <w:rsid w:val="007464A5"/>
    <w:rsid w:val="00753B0B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B1C9C"/>
    <w:rsid w:val="007B5270"/>
    <w:rsid w:val="007C24EE"/>
    <w:rsid w:val="007D0810"/>
    <w:rsid w:val="007D558F"/>
    <w:rsid w:val="007E61BD"/>
    <w:rsid w:val="007F700C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7643"/>
    <w:rsid w:val="0099326C"/>
    <w:rsid w:val="00993716"/>
    <w:rsid w:val="0099598F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34446"/>
    <w:rsid w:val="00A366D6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319"/>
    <w:rsid w:val="00C0614C"/>
    <w:rsid w:val="00C12A5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E490A"/>
    <w:rsid w:val="00CF3337"/>
    <w:rsid w:val="00CF3B2C"/>
    <w:rsid w:val="00D03BF2"/>
    <w:rsid w:val="00D0402F"/>
    <w:rsid w:val="00D20B1C"/>
    <w:rsid w:val="00D21F37"/>
    <w:rsid w:val="00D3188C"/>
    <w:rsid w:val="00D32CC5"/>
    <w:rsid w:val="00D33F27"/>
    <w:rsid w:val="00D3733E"/>
    <w:rsid w:val="00D46E34"/>
    <w:rsid w:val="00D61A10"/>
    <w:rsid w:val="00D62FB8"/>
    <w:rsid w:val="00D634BB"/>
    <w:rsid w:val="00D65853"/>
    <w:rsid w:val="00D67B21"/>
    <w:rsid w:val="00D70A3A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7EDB"/>
    <w:rsid w:val="00E365D8"/>
    <w:rsid w:val="00E41561"/>
    <w:rsid w:val="00E431F9"/>
    <w:rsid w:val="00E45EA7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D31E4"/>
    <w:rsid w:val="00EE3319"/>
    <w:rsid w:val="00F02DC7"/>
    <w:rsid w:val="00F045B4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3844"/>
    <w:rsid w:val="00FA3B71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7EBC9F59"/>
  <w15:docId w15:val="{26F55CA8-0FFD-4048-A2C2-763184D8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753B0B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0A92E-CF49-49BD-B1DF-EC1103A2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4</TotalTime>
  <Pages>11</Pages>
  <Words>2294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15799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5</cp:revision>
  <cp:lastPrinted>2017-03-30T12:34:00Z</cp:lastPrinted>
  <dcterms:created xsi:type="dcterms:W3CDTF">2017-09-23T20:55:00Z</dcterms:created>
  <dcterms:modified xsi:type="dcterms:W3CDTF">2024-10-09T12:33:00Z</dcterms:modified>
</cp:coreProperties>
</file>